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236" w:type="dxa"/>
        <w:tblLook w:val="04A0" w:firstRow="1" w:lastRow="0" w:firstColumn="1" w:lastColumn="0" w:noHBand="0" w:noVBand="1"/>
      </w:tblPr>
      <w:tblGrid>
        <w:gridCol w:w="5754"/>
        <w:gridCol w:w="1741"/>
        <w:gridCol w:w="838"/>
        <w:gridCol w:w="767"/>
        <w:gridCol w:w="767"/>
        <w:gridCol w:w="767"/>
        <w:gridCol w:w="767"/>
        <w:gridCol w:w="767"/>
        <w:gridCol w:w="767"/>
        <w:gridCol w:w="767"/>
        <w:gridCol w:w="767"/>
        <w:gridCol w:w="767"/>
      </w:tblGrid>
      <w:tr w:rsidR="006C51D0" w:rsidTr="006C51D0">
        <w:trPr>
          <w:cantSplit/>
          <w:trHeight w:val="1126"/>
        </w:trPr>
        <w:tc>
          <w:tcPr>
            <w:tcW w:w="5754" w:type="dxa"/>
            <w:vAlign w:val="center"/>
          </w:tcPr>
          <w:p w:rsidR="006C51D0" w:rsidRPr="00C91598" w:rsidRDefault="006C51D0" w:rsidP="00C91598">
            <w:pPr>
              <w:jc w:val="center"/>
              <w:rPr>
                <w:sz w:val="32"/>
                <w:szCs w:val="32"/>
              </w:rPr>
            </w:pPr>
            <w:bookmarkStart w:id="0" w:name="_GoBack"/>
            <w:bookmarkEnd w:id="0"/>
            <w:r w:rsidRPr="00C91598">
              <w:rPr>
                <w:sz w:val="32"/>
                <w:szCs w:val="32"/>
              </w:rPr>
              <w:t xml:space="preserve">National Incident Management </w:t>
            </w:r>
            <w:r>
              <w:rPr>
                <w:sz w:val="32"/>
                <w:szCs w:val="32"/>
              </w:rPr>
              <w:t xml:space="preserve">System </w:t>
            </w:r>
            <w:r w:rsidRPr="00C91598">
              <w:rPr>
                <w:sz w:val="32"/>
                <w:szCs w:val="32"/>
              </w:rPr>
              <w:t>Training Matrix Guidance</w:t>
            </w:r>
          </w:p>
        </w:tc>
        <w:tc>
          <w:tcPr>
            <w:tcW w:w="1741" w:type="dxa"/>
            <w:textDirection w:val="btLr"/>
          </w:tcPr>
          <w:p w:rsidR="006C51D0" w:rsidRDefault="006C51D0" w:rsidP="0063130F">
            <w:pPr>
              <w:ind w:left="113" w:right="113"/>
            </w:pPr>
            <w:r>
              <w:t>Position</w:t>
            </w:r>
          </w:p>
        </w:tc>
        <w:tc>
          <w:tcPr>
            <w:tcW w:w="838" w:type="dxa"/>
            <w:textDirection w:val="btLr"/>
            <w:vAlign w:val="center"/>
          </w:tcPr>
          <w:p w:rsidR="006C51D0" w:rsidRDefault="006C51D0" w:rsidP="0063130F">
            <w:pPr>
              <w:ind w:left="113" w:right="113"/>
            </w:pPr>
            <w:r>
              <w:t>IS  700a</w:t>
            </w:r>
          </w:p>
          <w:p w:rsidR="006C51D0" w:rsidRDefault="006C51D0" w:rsidP="0063130F">
            <w:pPr>
              <w:ind w:left="113" w:right="113"/>
            </w:pPr>
          </w:p>
        </w:tc>
        <w:tc>
          <w:tcPr>
            <w:tcW w:w="767" w:type="dxa"/>
            <w:textDirection w:val="btLr"/>
          </w:tcPr>
          <w:p w:rsidR="006C51D0" w:rsidRDefault="006C51D0" w:rsidP="0063130F">
            <w:pPr>
              <w:ind w:left="113" w:right="113"/>
            </w:pPr>
            <w:r>
              <w:t>IS 100</w:t>
            </w:r>
          </w:p>
        </w:tc>
        <w:tc>
          <w:tcPr>
            <w:tcW w:w="767" w:type="dxa"/>
            <w:textDirection w:val="btLr"/>
          </w:tcPr>
          <w:p w:rsidR="006C51D0" w:rsidRDefault="006C51D0" w:rsidP="0063130F">
            <w:pPr>
              <w:ind w:left="113" w:right="113"/>
            </w:pPr>
            <w:r>
              <w:t>IS 200</w:t>
            </w:r>
          </w:p>
        </w:tc>
        <w:tc>
          <w:tcPr>
            <w:tcW w:w="767" w:type="dxa"/>
            <w:textDirection w:val="btLr"/>
          </w:tcPr>
          <w:p w:rsidR="006C51D0" w:rsidRDefault="006C51D0" w:rsidP="0063130F">
            <w:pPr>
              <w:ind w:left="113" w:right="113"/>
            </w:pPr>
            <w:r>
              <w:t>ICS 300</w:t>
            </w:r>
          </w:p>
        </w:tc>
        <w:tc>
          <w:tcPr>
            <w:tcW w:w="767" w:type="dxa"/>
            <w:textDirection w:val="btLr"/>
          </w:tcPr>
          <w:p w:rsidR="006C51D0" w:rsidRDefault="006C51D0" w:rsidP="0063130F">
            <w:pPr>
              <w:ind w:left="113" w:right="113"/>
            </w:pPr>
            <w:r>
              <w:t>ICS 400</w:t>
            </w:r>
          </w:p>
        </w:tc>
        <w:tc>
          <w:tcPr>
            <w:tcW w:w="767" w:type="dxa"/>
            <w:textDirection w:val="btLr"/>
          </w:tcPr>
          <w:p w:rsidR="006C51D0" w:rsidRDefault="006C51D0" w:rsidP="0063130F">
            <w:pPr>
              <w:ind w:left="113" w:right="113"/>
            </w:pPr>
            <w:r>
              <w:t>IS 701a</w:t>
            </w:r>
          </w:p>
        </w:tc>
        <w:tc>
          <w:tcPr>
            <w:tcW w:w="767" w:type="dxa"/>
            <w:textDirection w:val="btLr"/>
          </w:tcPr>
          <w:p w:rsidR="006C51D0" w:rsidRDefault="006C51D0" w:rsidP="0063130F">
            <w:pPr>
              <w:ind w:left="113" w:right="113"/>
            </w:pPr>
            <w:r>
              <w:t>IS 702a</w:t>
            </w:r>
          </w:p>
        </w:tc>
        <w:tc>
          <w:tcPr>
            <w:tcW w:w="767" w:type="dxa"/>
            <w:textDirection w:val="btLr"/>
          </w:tcPr>
          <w:p w:rsidR="006C51D0" w:rsidRDefault="006C51D0" w:rsidP="0063130F">
            <w:pPr>
              <w:ind w:left="113" w:right="113"/>
            </w:pPr>
            <w:r>
              <w:t>IS 703a</w:t>
            </w:r>
          </w:p>
        </w:tc>
        <w:tc>
          <w:tcPr>
            <w:tcW w:w="767" w:type="dxa"/>
            <w:textDirection w:val="btLr"/>
          </w:tcPr>
          <w:p w:rsidR="006C51D0" w:rsidRDefault="006C51D0" w:rsidP="0063130F">
            <w:pPr>
              <w:ind w:left="113" w:right="113"/>
            </w:pPr>
            <w:r>
              <w:t>IS 704</w:t>
            </w:r>
          </w:p>
        </w:tc>
        <w:tc>
          <w:tcPr>
            <w:tcW w:w="767" w:type="dxa"/>
            <w:textDirection w:val="btLr"/>
          </w:tcPr>
          <w:p w:rsidR="006C51D0" w:rsidRDefault="006C51D0" w:rsidP="0063130F">
            <w:pPr>
              <w:ind w:left="113" w:right="113"/>
            </w:pPr>
            <w:r>
              <w:t>IS 800b</w:t>
            </w:r>
          </w:p>
        </w:tc>
      </w:tr>
      <w:tr w:rsidR="006C51D0" w:rsidTr="006C51D0">
        <w:trPr>
          <w:trHeight w:val="1358"/>
        </w:trPr>
        <w:tc>
          <w:tcPr>
            <w:tcW w:w="5754" w:type="dxa"/>
          </w:tcPr>
          <w:p w:rsidR="006C51D0" w:rsidRDefault="006C51D0" w:rsidP="00592D55">
            <w:r w:rsidRPr="0004149B">
              <w:rPr>
                <w:b/>
                <w:i/>
                <w:u w:val="single"/>
              </w:rPr>
              <w:t>Required</w:t>
            </w:r>
            <w:r>
              <w:t xml:space="preserve"> – All staff in State and local governments with responsibilities for emergency management and incident response.  This includes personnel from emergency management agencies and those who support and interact with incident emergency support functions.</w:t>
            </w:r>
          </w:p>
        </w:tc>
        <w:tc>
          <w:tcPr>
            <w:tcW w:w="1741" w:type="dxa"/>
          </w:tcPr>
          <w:p w:rsidR="006C51D0" w:rsidRPr="006C51D0" w:rsidRDefault="006C51D0" w:rsidP="006C51D0">
            <w:pPr>
              <w:rPr>
                <w:b/>
              </w:rPr>
            </w:pPr>
            <w:r>
              <w:rPr>
                <w:b/>
              </w:rPr>
              <w:t>All BD Staff</w:t>
            </w:r>
          </w:p>
        </w:tc>
        <w:tc>
          <w:tcPr>
            <w:tcW w:w="838" w:type="dxa"/>
            <w:vAlign w:val="center"/>
          </w:tcPr>
          <w:p w:rsidR="006C51D0" w:rsidRPr="00983C86" w:rsidRDefault="006C51D0" w:rsidP="0063130F">
            <w:pPr>
              <w:jc w:val="center"/>
              <w:rPr>
                <w:b/>
                <w:sz w:val="44"/>
                <w:szCs w:val="44"/>
              </w:rPr>
            </w:pPr>
            <w:r w:rsidRPr="00983C86">
              <w:rPr>
                <w:b/>
                <w:sz w:val="44"/>
                <w:szCs w:val="44"/>
              </w:rPr>
              <w:t>X</w:t>
            </w: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p>
        </w:tc>
      </w:tr>
      <w:tr w:rsidR="006C51D0" w:rsidTr="006C51D0">
        <w:trPr>
          <w:trHeight w:val="1324"/>
        </w:trPr>
        <w:tc>
          <w:tcPr>
            <w:tcW w:w="5754" w:type="dxa"/>
          </w:tcPr>
          <w:p w:rsidR="006C51D0" w:rsidRDefault="006C51D0" w:rsidP="00A96DB2">
            <w:r w:rsidRPr="003D05F7">
              <w:rPr>
                <w:b/>
                <w:i/>
                <w:u w:val="single"/>
              </w:rPr>
              <w:t>Responder Level</w:t>
            </w:r>
            <w:r>
              <w:t xml:space="preserve"> – Emergency response providers and disaster workers, entry level to management level, including emergency medical services personnel; firefighters; police officers; public health personnel; public works/utility personnel; shelter personnel etc.</w:t>
            </w:r>
          </w:p>
        </w:tc>
        <w:tc>
          <w:tcPr>
            <w:tcW w:w="1741" w:type="dxa"/>
          </w:tcPr>
          <w:p w:rsidR="006C51D0" w:rsidRPr="00983C86" w:rsidRDefault="00C20AB6" w:rsidP="00C20AB6">
            <w:pPr>
              <w:rPr>
                <w:b/>
                <w:sz w:val="44"/>
                <w:szCs w:val="44"/>
              </w:rPr>
            </w:pPr>
            <w:r>
              <w:rPr>
                <w:b/>
              </w:rPr>
              <w:t>BI/CEO/PA-PT/OA-OSS</w:t>
            </w:r>
          </w:p>
        </w:tc>
        <w:tc>
          <w:tcPr>
            <w:tcW w:w="838" w:type="dxa"/>
            <w:vAlign w:val="center"/>
          </w:tcPr>
          <w:p w:rsidR="006C51D0" w:rsidRPr="00983C86" w:rsidRDefault="006C51D0" w:rsidP="0063130F">
            <w:pPr>
              <w:jc w:val="center"/>
              <w:rPr>
                <w:b/>
                <w:sz w:val="44"/>
                <w:szCs w:val="44"/>
              </w:rPr>
            </w:pPr>
            <w:r w:rsidRPr="00983C86">
              <w:rPr>
                <w:b/>
                <w:sz w:val="44"/>
                <w:szCs w:val="44"/>
              </w:rPr>
              <w:t>X</w:t>
            </w:r>
          </w:p>
        </w:tc>
        <w:tc>
          <w:tcPr>
            <w:tcW w:w="767" w:type="dxa"/>
            <w:vAlign w:val="center"/>
          </w:tcPr>
          <w:p w:rsidR="006C51D0" w:rsidRPr="00983C86" w:rsidRDefault="006C51D0" w:rsidP="0063130F">
            <w:pPr>
              <w:jc w:val="center"/>
              <w:rPr>
                <w:b/>
                <w:sz w:val="44"/>
                <w:szCs w:val="44"/>
              </w:rPr>
            </w:pPr>
            <w:r>
              <w:rPr>
                <w:b/>
                <w:sz w:val="44"/>
                <w:szCs w:val="44"/>
              </w:rPr>
              <w:t>X</w:t>
            </w: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p>
        </w:tc>
      </w:tr>
      <w:tr w:rsidR="006C51D0" w:rsidTr="006C51D0">
        <w:trPr>
          <w:trHeight w:val="1579"/>
        </w:trPr>
        <w:tc>
          <w:tcPr>
            <w:tcW w:w="5754" w:type="dxa"/>
          </w:tcPr>
          <w:p w:rsidR="006C51D0" w:rsidRDefault="006C51D0" w:rsidP="00A96DB2">
            <w:r w:rsidRPr="00604658">
              <w:rPr>
                <w:b/>
                <w:i/>
                <w:u w:val="single"/>
              </w:rPr>
              <w:t>Supervisor Level</w:t>
            </w:r>
            <w:r>
              <w:t xml:space="preserve"> – All mid-level management, including personnel serving as command staff, section chiefs, strike team leaders, task force leaders, unit leaders, division/group supervisors, branch directors, and multiagency coordination system/emergency operations center staff.</w:t>
            </w:r>
          </w:p>
        </w:tc>
        <w:tc>
          <w:tcPr>
            <w:tcW w:w="1741" w:type="dxa"/>
          </w:tcPr>
          <w:p w:rsidR="00C20AB6" w:rsidRDefault="00C20AB6" w:rsidP="0063130F">
            <w:pPr>
              <w:jc w:val="center"/>
              <w:rPr>
                <w:b/>
              </w:rPr>
            </w:pPr>
            <w:r>
              <w:rPr>
                <w:b/>
              </w:rPr>
              <w:t xml:space="preserve">Chris </w:t>
            </w:r>
            <w:proofErr w:type="spellStart"/>
            <w:r>
              <w:rPr>
                <w:b/>
              </w:rPr>
              <w:t>Jellison</w:t>
            </w:r>
            <w:proofErr w:type="spellEnd"/>
            <w:r>
              <w:rPr>
                <w:b/>
              </w:rPr>
              <w:t xml:space="preserve"> - Situation Status </w:t>
            </w:r>
            <w:r w:rsidRPr="00C20AB6">
              <w:rPr>
                <w:b/>
              </w:rPr>
              <w:t>/</w:t>
            </w:r>
          </w:p>
          <w:p w:rsidR="006C51D0" w:rsidRPr="00C20AB6" w:rsidRDefault="00C20AB6" w:rsidP="0063130F">
            <w:pPr>
              <w:jc w:val="center"/>
              <w:rPr>
                <w:b/>
              </w:rPr>
            </w:pPr>
            <w:r w:rsidRPr="00C20AB6">
              <w:rPr>
                <w:b/>
              </w:rPr>
              <w:t>Nancy Springer</w:t>
            </w:r>
            <w:r>
              <w:rPr>
                <w:b/>
              </w:rPr>
              <w:t>- Planning Intel Chief</w:t>
            </w:r>
          </w:p>
        </w:tc>
        <w:tc>
          <w:tcPr>
            <w:tcW w:w="838" w:type="dxa"/>
            <w:vAlign w:val="center"/>
          </w:tcPr>
          <w:p w:rsidR="006C51D0" w:rsidRPr="00983C86" w:rsidRDefault="006C51D0" w:rsidP="0063130F">
            <w:pPr>
              <w:jc w:val="center"/>
              <w:rPr>
                <w:b/>
                <w:sz w:val="44"/>
                <w:szCs w:val="44"/>
              </w:rPr>
            </w:pPr>
            <w:r>
              <w:rPr>
                <w:b/>
                <w:sz w:val="44"/>
                <w:szCs w:val="44"/>
              </w:rPr>
              <w:t>X</w:t>
            </w:r>
          </w:p>
        </w:tc>
        <w:tc>
          <w:tcPr>
            <w:tcW w:w="767" w:type="dxa"/>
            <w:vAlign w:val="center"/>
          </w:tcPr>
          <w:p w:rsidR="006C51D0" w:rsidRPr="00983C86" w:rsidRDefault="006C51D0" w:rsidP="0063130F">
            <w:pPr>
              <w:jc w:val="center"/>
              <w:rPr>
                <w:b/>
                <w:sz w:val="44"/>
                <w:szCs w:val="44"/>
              </w:rPr>
            </w:pPr>
            <w:r>
              <w:rPr>
                <w:b/>
                <w:sz w:val="44"/>
                <w:szCs w:val="44"/>
              </w:rPr>
              <w:t>X</w:t>
            </w:r>
          </w:p>
        </w:tc>
        <w:tc>
          <w:tcPr>
            <w:tcW w:w="767" w:type="dxa"/>
            <w:vAlign w:val="center"/>
          </w:tcPr>
          <w:p w:rsidR="006C51D0" w:rsidRPr="00983C86" w:rsidRDefault="006C51D0" w:rsidP="0063130F">
            <w:pPr>
              <w:jc w:val="center"/>
              <w:rPr>
                <w:b/>
                <w:sz w:val="44"/>
                <w:szCs w:val="44"/>
              </w:rPr>
            </w:pPr>
            <w:r>
              <w:rPr>
                <w:b/>
                <w:sz w:val="44"/>
                <w:szCs w:val="44"/>
              </w:rPr>
              <w:t>X</w:t>
            </w:r>
          </w:p>
        </w:tc>
        <w:tc>
          <w:tcPr>
            <w:tcW w:w="767" w:type="dxa"/>
            <w:vAlign w:val="center"/>
          </w:tcPr>
          <w:p w:rsidR="006C51D0" w:rsidRPr="00983C86" w:rsidRDefault="006C51D0" w:rsidP="0063130F">
            <w:pPr>
              <w:jc w:val="center"/>
              <w:rPr>
                <w:b/>
                <w:sz w:val="44"/>
                <w:szCs w:val="44"/>
              </w:rPr>
            </w:pPr>
            <w:r>
              <w:rPr>
                <w:b/>
                <w:sz w:val="44"/>
                <w:szCs w:val="44"/>
              </w:rPr>
              <w:t>X</w:t>
            </w:r>
          </w:p>
        </w:tc>
        <w:tc>
          <w:tcPr>
            <w:tcW w:w="767" w:type="dxa"/>
            <w:vAlign w:val="center"/>
          </w:tcPr>
          <w:p w:rsidR="006C51D0" w:rsidRPr="00983C86" w:rsidRDefault="006C51D0" w:rsidP="0063130F">
            <w:pPr>
              <w:jc w:val="center"/>
              <w:rPr>
                <w:b/>
                <w:sz w:val="44"/>
                <w:szCs w:val="44"/>
              </w:rPr>
            </w:pP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p>
        </w:tc>
      </w:tr>
      <w:tr w:rsidR="006C51D0" w:rsidTr="006C51D0">
        <w:trPr>
          <w:trHeight w:val="1046"/>
        </w:trPr>
        <w:tc>
          <w:tcPr>
            <w:tcW w:w="5754" w:type="dxa"/>
          </w:tcPr>
          <w:p w:rsidR="006C51D0" w:rsidRPr="001828EB" w:rsidRDefault="006C51D0" w:rsidP="00A96DB2">
            <w:r w:rsidRPr="001828EB">
              <w:rPr>
                <w:b/>
                <w:i/>
                <w:u w:val="single"/>
              </w:rPr>
              <w:t xml:space="preserve">Command Level </w:t>
            </w:r>
            <w:r w:rsidRPr="001828EB">
              <w:t>–</w:t>
            </w:r>
            <w:r w:rsidRPr="001828EB">
              <w:rPr>
                <w:b/>
                <w:i/>
              </w:rPr>
              <w:t xml:space="preserve"> </w:t>
            </w:r>
            <w:r w:rsidRPr="001828EB">
              <w:t>All personnel serving as Command and General staff in an ICS organization, select department heads with multiagency coordination system responsibilities, area managers and EOC Managers.</w:t>
            </w:r>
          </w:p>
        </w:tc>
        <w:tc>
          <w:tcPr>
            <w:tcW w:w="1741" w:type="dxa"/>
          </w:tcPr>
          <w:p w:rsidR="006C51D0" w:rsidRPr="001828EB" w:rsidRDefault="001828EB" w:rsidP="0063130F">
            <w:pPr>
              <w:jc w:val="center"/>
              <w:rPr>
                <w:b/>
              </w:rPr>
            </w:pPr>
            <w:r w:rsidRPr="001828EB">
              <w:rPr>
                <w:b/>
              </w:rPr>
              <w:t>N/A</w:t>
            </w:r>
          </w:p>
        </w:tc>
        <w:tc>
          <w:tcPr>
            <w:tcW w:w="838" w:type="dxa"/>
            <w:vAlign w:val="center"/>
          </w:tcPr>
          <w:p w:rsidR="006C51D0" w:rsidRPr="00983C86" w:rsidRDefault="006C51D0" w:rsidP="0063130F">
            <w:pPr>
              <w:jc w:val="center"/>
              <w:rPr>
                <w:b/>
                <w:sz w:val="44"/>
                <w:szCs w:val="44"/>
              </w:rPr>
            </w:pPr>
            <w:r>
              <w:rPr>
                <w:b/>
                <w:sz w:val="44"/>
                <w:szCs w:val="44"/>
              </w:rPr>
              <w:t>X</w:t>
            </w:r>
          </w:p>
        </w:tc>
        <w:tc>
          <w:tcPr>
            <w:tcW w:w="767" w:type="dxa"/>
            <w:vAlign w:val="center"/>
          </w:tcPr>
          <w:p w:rsidR="006C51D0" w:rsidRPr="00983C86" w:rsidRDefault="006C51D0" w:rsidP="0063130F">
            <w:pPr>
              <w:jc w:val="center"/>
              <w:rPr>
                <w:b/>
                <w:sz w:val="44"/>
                <w:szCs w:val="44"/>
              </w:rPr>
            </w:pPr>
            <w:r>
              <w:rPr>
                <w:b/>
                <w:sz w:val="44"/>
                <w:szCs w:val="44"/>
              </w:rPr>
              <w:t>X</w:t>
            </w:r>
          </w:p>
        </w:tc>
        <w:tc>
          <w:tcPr>
            <w:tcW w:w="767" w:type="dxa"/>
            <w:vAlign w:val="center"/>
          </w:tcPr>
          <w:p w:rsidR="006C51D0" w:rsidRPr="00983C86" w:rsidRDefault="006C51D0" w:rsidP="0063130F">
            <w:pPr>
              <w:jc w:val="center"/>
              <w:rPr>
                <w:b/>
                <w:sz w:val="44"/>
                <w:szCs w:val="44"/>
              </w:rPr>
            </w:pPr>
            <w:r>
              <w:rPr>
                <w:b/>
                <w:sz w:val="44"/>
                <w:szCs w:val="44"/>
              </w:rPr>
              <w:t>X</w:t>
            </w:r>
          </w:p>
        </w:tc>
        <w:tc>
          <w:tcPr>
            <w:tcW w:w="767" w:type="dxa"/>
            <w:vAlign w:val="center"/>
          </w:tcPr>
          <w:p w:rsidR="006C51D0" w:rsidRPr="00983C86" w:rsidRDefault="006C51D0" w:rsidP="0063130F">
            <w:pPr>
              <w:jc w:val="center"/>
              <w:rPr>
                <w:b/>
                <w:sz w:val="44"/>
                <w:szCs w:val="44"/>
              </w:rPr>
            </w:pPr>
            <w:r>
              <w:rPr>
                <w:b/>
                <w:sz w:val="44"/>
                <w:szCs w:val="44"/>
              </w:rPr>
              <w:t>X</w:t>
            </w:r>
          </w:p>
        </w:tc>
        <w:tc>
          <w:tcPr>
            <w:tcW w:w="767" w:type="dxa"/>
            <w:vAlign w:val="center"/>
          </w:tcPr>
          <w:p w:rsidR="006C51D0" w:rsidRPr="00983C86" w:rsidRDefault="006C51D0" w:rsidP="0063130F">
            <w:pPr>
              <w:jc w:val="center"/>
              <w:rPr>
                <w:b/>
                <w:sz w:val="44"/>
                <w:szCs w:val="44"/>
              </w:rPr>
            </w:pPr>
            <w:r>
              <w:rPr>
                <w:b/>
                <w:sz w:val="44"/>
                <w:szCs w:val="44"/>
              </w:rPr>
              <w:t>X</w:t>
            </w: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r>
              <w:rPr>
                <w:b/>
                <w:sz w:val="44"/>
                <w:szCs w:val="44"/>
              </w:rPr>
              <w:t>#</w:t>
            </w:r>
          </w:p>
        </w:tc>
        <w:tc>
          <w:tcPr>
            <w:tcW w:w="767" w:type="dxa"/>
            <w:vAlign w:val="center"/>
          </w:tcPr>
          <w:p w:rsidR="006C51D0" w:rsidRPr="00983C86" w:rsidRDefault="006C51D0" w:rsidP="0063130F">
            <w:pPr>
              <w:jc w:val="center"/>
              <w:rPr>
                <w:b/>
                <w:sz w:val="44"/>
                <w:szCs w:val="44"/>
              </w:rPr>
            </w:pPr>
            <w:r>
              <w:rPr>
                <w:b/>
                <w:sz w:val="44"/>
                <w:szCs w:val="44"/>
              </w:rPr>
              <w:t>X</w:t>
            </w:r>
          </w:p>
        </w:tc>
      </w:tr>
    </w:tbl>
    <w:p w:rsidR="009236F5" w:rsidRDefault="009236F5" w:rsidP="00A96DB2">
      <w:pPr>
        <w:spacing w:after="0"/>
      </w:pPr>
    </w:p>
    <w:p w:rsidR="00AD3175" w:rsidRPr="00AD3175" w:rsidRDefault="00AD3175" w:rsidP="00A96DB2">
      <w:pPr>
        <w:spacing w:after="0"/>
        <w:rPr>
          <w:i/>
          <w:sz w:val="18"/>
          <w:szCs w:val="18"/>
        </w:rPr>
      </w:pPr>
      <w:proofErr w:type="gramStart"/>
      <w:r w:rsidRPr="00AD3175">
        <w:rPr>
          <w:i/>
          <w:sz w:val="18"/>
          <w:szCs w:val="18"/>
        </w:rPr>
        <w:t>Unless otherwise noted courses may be taken online.</w:t>
      </w:r>
      <w:proofErr w:type="gramEnd"/>
      <w:r w:rsidR="00072F75">
        <w:rPr>
          <w:i/>
          <w:sz w:val="18"/>
          <w:szCs w:val="18"/>
        </w:rPr>
        <w:t xml:space="preserve"> As courses get updated a letter is added to the number.  Once you complete a course you do not have to take updated course (i.e. IS 700 is now IS 700a). </w:t>
      </w:r>
    </w:p>
    <w:p w:rsidR="00B37F40" w:rsidRPr="00152203" w:rsidRDefault="00152203" w:rsidP="00A96DB2">
      <w:pPr>
        <w:spacing w:after="0"/>
        <w:rPr>
          <w:sz w:val="18"/>
          <w:szCs w:val="18"/>
        </w:rPr>
      </w:pPr>
      <w:r w:rsidRPr="00152203">
        <w:rPr>
          <w:sz w:val="18"/>
          <w:szCs w:val="18"/>
        </w:rPr>
        <w:t>IS 700</w:t>
      </w:r>
      <w:r w:rsidR="006C51D0">
        <w:rPr>
          <w:sz w:val="18"/>
          <w:szCs w:val="18"/>
        </w:rPr>
        <w:t>a</w:t>
      </w:r>
      <w:r w:rsidRPr="00152203">
        <w:rPr>
          <w:sz w:val="18"/>
          <w:szCs w:val="18"/>
        </w:rPr>
        <w:t xml:space="preserve"> – NIMS, </w:t>
      </w:r>
      <w:proofErr w:type="gramStart"/>
      <w:r w:rsidRPr="00152203">
        <w:rPr>
          <w:sz w:val="18"/>
          <w:szCs w:val="18"/>
        </w:rPr>
        <w:t>An</w:t>
      </w:r>
      <w:proofErr w:type="gramEnd"/>
      <w:r w:rsidRPr="00152203">
        <w:rPr>
          <w:sz w:val="18"/>
          <w:szCs w:val="18"/>
        </w:rPr>
        <w:t xml:space="preserve"> Introduction</w:t>
      </w:r>
    </w:p>
    <w:p w:rsidR="00152203" w:rsidRPr="00152203" w:rsidRDefault="00152203" w:rsidP="00A96DB2">
      <w:pPr>
        <w:spacing w:after="0"/>
        <w:rPr>
          <w:sz w:val="18"/>
          <w:szCs w:val="18"/>
        </w:rPr>
      </w:pPr>
      <w:proofErr w:type="gramStart"/>
      <w:r w:rsidRPr="00152203">
        <w:rPr>
          <w:sz w:val="18"/>
          <w:szCs w:val="18"/>
        </w:rPr>
        <w:t>IS</w:t>
      </w:r>
      <w:proofErr w:type="gramEnd"/>
      <w:r w:rsidRPr="00152203">
        <w:rPr>
          <w:sz w:val="18"/>
          <w:szCs w:val="18"/>
        </w:rPr>
        <w:t xml:space="preserve"> 100 – Introduction to the Incident Command System (ICS)</w:t>
      </w:r>
    </w:p>
    <w:p w:rsidR="00152203" w:rsidRPr="00152203" w:rsidRDefault="00152203" w:rsidP="00A96DB2">
      <w:pPr>
        <w:spacing w:after="0"/>
        <w:rPr>
          <w:sz w:val="18"/>
          <w:szCs w:val="18"/>
        </w:rPr>
      </w:pPr>
      <w:proofErr w:type="gramStart"/>
      <w:r w:rsidRPr="00152203">
        <w:rPr>
          <w:sz w:val="18"/>
          <w:szCs w:val="18"/>
        </w:rPr>
        <w:t>IS</w:t>
      </w:r>
      <w:proofErr w:type="gramEnd"/>
      <w:r w:rsidRPr="00152203">
        <w:rPr>
          <w:sz w:val="18"/>
          <w:szCs w:val="18"/>
        </w:rPr>
        <w:t xml:space="preserve"> 200 – ICS for Single Resources and Initial Action Incidents</w:t>
      </w:r>
    </w:p>
    <w:p w:rsidR="00152203" w:rsidRPr="00152203" w:rsidRDefault="00152203" w:rsidP="00A96DB2">
      <w:pPr>
        <w:spacing w:after="0"/>
        <w:rPr>
          <w:sz w:val="18"/>
          <w:szCs w:val="18"/>
        </w:rPr>
      </w:pPr>
      <w:r w:rsidRPr="00152203">
        <w:rPr>
          <w:sz w:val="18"/>
          <w:szCs w:val="18"/>
        </w:rPr>
        <w:t>ICS 300 – Intermediate ICS</w:t>
      </w:r>
      <w:r w:rsidR="00AD3175">
        <w:rPr>
          <w:sz w:val="18"/>
          <w:szCs w:val="18"/>
        </w:rPr>
        <w:t xml:space="preserve"> (Classroom Course)</w:t>
      </w:r>
    </w:p>
    <w:p w:rsidR="00152203" w:rsidRPr="00152203" w:rsidRDefault="00152203" w:rsidP="00A96DB2">
      <w:pPr>
        <w:spacing w:after="0"/>
        <w:rPr>
          <w:sz w:val="18"/>
          <w:szCs w:val="18"/>
        </w:rPr>
      </w:pPr>
      <w:r w:rsidRPr="00152203">
        <w:rPr>
          <w:sz w:val="18"/>
          <w:szCs w:val="18"/>
        </w:rPr>
        <w:t>ICS 400 – Advance</w:t>
      </w:r>
      <w:r w:rsidR="00F665BE">
        <w:rPr>
          <w:sz w:val="18"/>
          <w:szCs w:val="18"/>
        </w:rPr>
        <w:t>d</w:t>
      </w:r>
      <w:r w:rsidRPr="00152203">
        <w:rPr>
          <w:sz w:val="18"/>
          <w:szCs w:val="18"/>
        </w:rPr>
        <w:t xml:space="preserve"> ICS</w:t>
      </w:r>
      <w:r w:rsidR="00AD3175">
        <w:rPr>
          <w:sz w:val="18"/>
          <w:szCs w:val="18"/>
        </w:rPr>
        <w:t xml:space="preserve"> (Classroom Course)</w:t>
      </w:r>
    </w:p>
    <w:p w:rsidR="00152203" w:rsidRPr="00152203" w:rsidRDefault="00152203" w:rsidP="00A96DB2">
      <w:pPr>
        <w:spacing w:after="0"/>
        <w:rPr>
          <w:sz w:val="18"/>
          <w:szCs w:val="18"/>
        </w:rPr>
      </w:pPr>
      <w:r w:rsidRPr="00152203">
        <w:rPr>
          <w:sz w:val="18"/>
          <w:szCs w:val="18"/>
        </w:rPr>
        <w:t>IS 701</w:t>
      </w:r>
      <w:r w:rsidR="006C51D0">
        <w:rPr>
          <w:sz w:val="18"/>
          <w:szCs w:val="18"/>
        </w:rPr>
        <w:t>a</w:t>
      </w:r>
      <w:r w:rsidRPr="00152203">
        <w:rPr>
          <w:sz w:val="18"/>
          <w:szCs w:val="18"/>
        </w:rPr>
        <w:t xml:space="preserve"> – NIMS Multiagency Coordination </w:t>
      </w:r>
      <w:proofErr w:type="gramStart"/>
      <w:r w:rsidRPr="00152203">
        <w:rPr>
          <w:sz w:val="18"/>
          <w:szCs w:val="18"/>
        </w:rPr>
        <w:t>System</w:t>
      </w:r>
      <w:proofErr w:type="gramEnd"/>
    </w:p>
    <w:p w:rsidR="00152203" w:rsidRPr="00152203" w:rsidRDefault="00152203" w:rsidP="00A96DB2">
      <w:pPr>
        <w:spacing w:after="0"/>
        <w:rPr>
          <w:sz w:val="18"/>
          <w:szCs w:val="18"/>
        </w:rPr>
      </w:pPr>
      <w:r w:rsidRPr="00152203">
        <w:rPr>
          <w:sz w:val="18"/>
          <w:szCs w:val="18"/>
        </w:rPr>
        <w:t>IS 702</w:t>
      </w:r>
      <w:r w:rsidR="006C51D0">
        <w:rPr>
          <w:sz w:val="18"/>
          <w:szCs w:val="18"/>
        </w:rPr>
        <w:t>a</w:t>
      </w:r>
      <w:r w:rsidRPr="00152203">
        <w:rPr>
          <w:sz w:val="18"/>
          <w:szCs w:val="18"/>
        </w:rPr>
        <w:t xml:space="preserve"> – NIMS Public Information </w:t>
      </w:r>
      <w:proofErr w:type="gramStart"/>
      <w:r w:rsidRPr="00152203">
        <w:rPr>
          <w:sz w:val="18"/>
          <w:szCs w:val="18"/>
        </w:rPr>
        <w:t>Systems</w:t>
      </w:r>
      <w:proofErr w:type="gramEnd"/>
    </w:p>
    <w:p w:rsidR="00152203" w:rsidRPr="00152203" w:rsidRDefault="00152203" w:rsidP="00A96DB2">
      <w:pPr>
        <w:spacing w:after="0"/>
        <w:rPr>
          <w:sz w:val="18"/>
          <w:szCs w:val="18"/>
        </w:rPr>
      </w:pPr>
      <w:r w:rsidRPr="00152203">
        <w:rPr>
          <w:sz w:val="18"/>
          <w:szCs w:val="18"/>
        </w:rPr>
        <w:t>IS 703</w:t>
      </w:r>
      <w:r w:rsidR="006C51D0">
        <w:rPr>
          <w:sz w:val="18"/>
          <w:szCs w:val="18"/>
        </w:rPr>
        <w:t>a</w:t>
      </w:r>
      <w:r w:rsidRPr="00152203">
        <w:rPr>
          <w:sz w:val="18"/>
          <w:szCs w:val="18"/>
        </w:rPr>
        <w:t xml:space="preserve"> – NIMS Resource </w:t>
      </w:r>
      <w:proofErr w:type="gramStart"/>
      <w:r w:rsidRPr="00152203">
        <w:rPr>
          <w:sz w:val="18"/>
          <w:szCs w:val="18"/>
        </w:rPr>
        <w:t>Management</w:t>
      </w:r>
      <w:proofErr w:type="gramEnd"/>
      <w:r w:rsidRPr="00152203">
        <w:rPr>
          <w:sz w:val="18"/>
          <w:szCs w:val="18"/>
        </w:rPr>
        <w:t xml:space="preserve"> </w:t>
      </w:r>
    </w:p>
    <w:p w:rsidR="00152203" w:rsidRPr="00152203" w:rsidRDefault="00152203" w:rsidP="00A96DB2">
      <w:pPr>
        <w:spacing w:after="0"/>
        <w:rPr>
          <w:sz w:val="18"/>
          <w:szCs w:val="18"/>
        </w:rPr>
      </w:pPr>
      <w:proofErr w:type="gramStart"/>
      <w:r w:rsidRPr="00152203">
        <w:rPr>
          <w:sz w:val="18"/>
          <w:szCs w:val="18"/>
        </w:rPr>
        <w:t>IS</w:t>
      </w:r>
      <w:proofErr w:type="gramEnd"/>
      <w:r w:rsidRPr="00152203">
        <w:rPr>
          <w:sz w:val="18"/>
          <w:szCs w:val="18"/>
        </w:rPr>
        <w:t xml:space="preserve"> 704 – NIMS Communications and Information Management</w:t>
      </w:r>
    </w:p>
    <w:p w:rsidR="00152203" w:rsidRDefault="00152203" w:rsidP="00A96DB2">
      <w:pPr>
        <w:spacing w:after="0"/>
        <w:rPr>
          <w:sz w:val="18"/>
          <w:szCs w:val="18"/>
        </w:rPr>
      </w:pPr>
      <w:r w:rsidRPr="00152203">
        <w:rPr>
          <w:sz w:val="18"/>
          <w:szCs w:val="18"/>
        </w:rPr>
        <w:t>IS 800</w:t>
      </w:r>
      <w:r w:rsidR="006C51D0">
        <w:rPr>
          <w:sz w:val="18"/>
          <w:szCs w:val="18"/>
        </w:rPr>
        <w:t>b</w:t>
      </w:r>
      <w:r w:rsidRPr="00152203">
        <w:rPr>
          <w:sz w:val="18"/>
          <w:szCs w:val="18"/>
        </w:rPr>
        <w:t xml:space="preserve"> – National Response Framework, </w:t>
      </w:r>
      <w:proofErr w:type="gramStart"/>
      <w:r w:rsidRPr="00152203">
        <w:rPr>
          <w:sz w:val="18"/>
          <w:szCs w:val="18"/>
        </w:rPr>
        <w:t>An</w:t>
      </w:r>
      <w:proofErr w:type="gramEnd"/>
      <w:r w:rsidRPr="00152203">
        <w:rPr>
          <w:sz w:val="18"/>
          <w:szCs w:val="18"/>
        </w:rPr>
        <w:t xml:space="preserve"> Introduction</w:t>
      </w:r>
    </w:p>
    <w:p w:rsidR="006621E4" w:rsidRDefault="006621E4" w:rsidP="00A96DB2">
      <w:pPr>
        <w:spacing w:after="0"/>
        <w:rPr>
          <w:sz w:val="18"/>
          <w:szCs w:val="18"/>
        </w:rPr>
      </w:pPr>
      <w:r w:rsidRPr="006621E4">
        <w:rPr>
          <w:b/>
          <w:sz w:val="18"/>
          <w:szCs w:val="18"/>
        </w:rPr>
        <w:t>X</w:t>
      </w:r>
      <w:r>
        <w:rPr>
          <w:b/>
          <w:sz w:val="18"/>
          <w:szCs w:val="18"/>
        </w:rPr>
        <w:t xml:space="preserve"> </w:t>
      </w:r>
      <w:r>
        <w:rPr>
          <w:sz w:val="18"/>
          <w:szCs w:val="18"/>
        </w:rPr>
        <w:t>= Required</w:t>
      </w:r>
    </w:p>
    <w:p w:rsidR="006621E4" w:rsidRPr="006621E4" w:rsidRDefault="006621E4" w:rsidP="00A96DB2">
      <w:pPr>
        <w:spacing w:after="0"/>
        <w:rPr>
          <w:sz w:val="18"/>
          <w:szCs w:val="18"/>
        </w:rPr>
      </w:pPr>
      <w:r w:rsidRPr="006621E4">
        <w:rPr>
          <w:b/>
          <w:sz w:val="18"/>
          <w:szCs w:val="18"/>
        </w:rPr>
        <w:t>#</w:t>
      </w:r>
      <w:r>
        <w:rPr>
          <w:b/>
          <w:sz w:val="18"/>
          <w:szCs w:val="18"/>
        </w:rPr>
        <w:t xml:space="preserve"> </w:t>
      </w:r>
      <w:r>
        <w:rPr>
          <w:sz w:val="18"/>
          <w:szCs w:val="18"/>
        </w:rPr>
        <w:t>= Suggested (may be required in the future)  Applicability - Staff that fills Logistics roles should complete IS 703 Resource Management</w:t>
      </w:r>
      <w:r w:rsidR="001742A6">
        <w:rPr>
          <w:sz w:val="18"/>
          <w:szCs w:val="18"/>
        </w:rPr>
        <w:t>, PIO’s should complete IS 702 Public Information Systems, etc</w:t>
      </w:r>
      <w:r>
        <w:rPr>
          <w:sz w:val="18"/>
          <w:szCs w:val="18"/>
        </w:rPr>
        <w:t xml:space="preserve">.  </w:t>
      </w:r>
    </w:p>
    <w:sectPr w:rsidR="006621E4" w:rsidRPr="006621E4" w:rsidSect="00A96DB2">
      <w:footerReference w:type="default" r:id="rId7"/>
      <w:pgSz w:w="15840" w:h="12240" w:orient="landscape"/>
      <w:pgMar w:top="720" w:right="432" w:bottom="72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2FF" w:rsidRDefault="009E52FF" w:rsidP="00122DF0">
      <w:pPr>
        <w:spacing w:after="0" w:line="240" w:lineRule="auto"/>
      </w:pPr>
      <w:r>
        <w:separator/>
      </w:r>
    </w:p>
  </w:endnote>
  <w:endnote w:type="continuationSeparator" w:id="0">
    <w:p w:rsidR="009E52FF" w:rsidRDefault="009E52FF" w:rsidP="0012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DF0" w:rsidRPr="005A5678" w:rsidRDefault="00122DF0" w:rsidP="00122DF0">
    <w:pPr>
      <w:pStyle w:val="Footer"/>
      <w:jc w:val="right"/>
      <w:rPr>
        <w:sz w:val="18"/>
        <w:szCs w:val="18"/>
      </w:rPr>
    </w:pPr>
    <w:r w:rsidRPr="005A5678">
      <w:rPr>
        <w:sz w:val="18"/>
        <w:szCs w:val="18"/>
      </w:rPr>
      <w:t>July 2010</w:t>
    </w:r>
  </w:p>
  <w:p w:rsidR="00122DF0" w:rsidRDefault="00122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2FF" w:rsidRDefault="009E52FF" w:rsidP="00122DF0">
      <w:pPr>
        <w:spacing w:after="0" w:line="240" w:lineRule="auto"/>
      </w:pPr>
      <w:r>
        <w:separator/>
      </w:r>
    </w:p>
  </w:footnote>
  <w:footnote w:type="continuationSeparator" w:id="0">
    <w:p w:rsidR="009E52FF" w:rsidRDefault="009E52FF" w:rsidP="00122D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B2"/>
    <w:rsid w:val="0004149B"/>
    <w:rsid w:val="00042157"/>
    <w:rsid w:val="00072F75"/>
    <w:rsid w:val="00122DF0"/>
    <w:rsid w:val="0014423D"/>
    <w:rsid w:val="00152203"/>
    <w:rsid w:val="001742A6"/>
    <w:rsid w:val="001828EB"/>
    <w:rsid w:val="00332CA1"/>
    <w:rsid w:val="003D05F7"/>
    <w:rsid w:val="00455869"/>
    <w:rsid w:val="00592D55"/>
    <w:rsid w:val="00597B81"/>
    <w:rsid w:val="005A5678"/>
    <w:rsid w:val="00604658"/>
    <w:rsid w:val="0063130F"/>
    <w:rsid w:val="006621E4"/>
    <w:rsid w:val="006C51D0"/>
    <w:rsid w:val="00732868"/>
    <w:rsid w:val="00783373"/>
    <w:rsid w:val="008C3ECF"/>
    <w:rsid w:val="009236F5"/>
    <w:rsid w:val="00983C86"/>
    <w:rsid w:val="009E52FF"/>
    <w:rsid w:val="009F6E22"/>
    <w:rsid w:val="00A96DB2"/>
    <w:rsid w:val="00AD3175"/>
    <w:rsid w:val="00B37F40"/>
    <w:rsid w:val="00BA5948"/>
    <w:rsid w:val="00C20AB6"/>
    <w:rsid w:val="00C91598"/>
    <w:rsid w:val="00E26842"/>
    <w:rsid w:val="00F665BE"/>
    <w:rsid w:val="00FB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D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22D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2DF0"/>
  </w:style>
  <w:style w:type="paragraph" w:styleId="Footer">
    <w:name w:val="footer"/>
    <w:basedOn w:val="Normal"/>
    <w:link w:val="FooterChar"/>
    <w:uiPriority w:val="99"/>
    <w:unhideWhenUsed/>
    <w:rsid w:val="00122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DF0"/>
  </w:style>
  <w:style w:type="paragraph" w:styleId="BalloonText">
    <w:name w:val="Balloon Text"/>
    <w:basedOn w:val="Normal"/>
    <w:link w:val="BalloonTextChar"/>
    <w:uiPriority w:val="99"/>
    <w:semiHidden/>
    <w:unhideWhenUsed/>
    <w:rsid w:val="0012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D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22D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2DF0"/>
  </w:style>
  <w:style w:type="paragraph" w:styleId="Footer">
    <w:name w:val="footer"/>
    <w:basedOn w:val="Normal"/>
    <w:link w:val="FooterChar"/>
    <w:uiPriority w:val="99"/>
    <w:unhideWhenUsed/>
    <w:rsid w:val="00122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DF0"/>
  </w:style>
  <w:style w:type="paragraph" w:styleId="BalloonText">
    <w:name w:val="Balloon Text"/>
    <w:basedOn w:val="Normal"/>
    <w:link w:val="BalloonTextChar"/>
    <w:uiPriority w:val="99"/>
    <w:semiHidden/>
    <w:unhideWhenUsed/>
    <w:rsid w:val="0012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Butte County</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jgulserian</dc:creator>
  <cp:lastModifiedBy>Nancy J Springer </cp:lastModifiedBy>
  <cp:revision>2</cp:revision>
  <dcterms:created xsi:type="dcterms:W3CDTF">2019-03-16T08:35:00Z</dcterms:created>
  <dcterms:modified xsi:type="dcterms:W3CDTF">2019-03-16T08:35:00Z</dcterms:modified>
</cp:coreProperties>
</file>